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DD" w:rsidRPr="00D31909" w:rsidRDefault="00D31909">
      <w:pPr>
        <w:rPr>
          <w:b/>
        </w:rPr>
      </w:pPr>
      <w:bookmarkStart w:id="0" w:name="_GoBack"/>
      <w:bookmarkEnd w:id="0"/>
      <w:proofErr w:type="spellStart"/>
      <w:r w:rsidRPr="00D31909">
        <w:rPr>
          <w:b/>
        </w:rPr>
        <w:t>Pre</w:t>
      </w:r>
      <w:proofErr w:type="spellEnd"/>
      <w:r w:rsidRPr="00D31909">
        <w:rPr>
          <w:b/>
        </w:rPr>
        <w:t xml:space="preserve"> selezione direttore biblioteca 2018 prova </w:t>
      </w:r>
      <w:r w:rsidR="00E62D94">
        <w:rPr>
          <w:b/>
        </w:rPr>
        <w:t>c</w:t>
      </w:r>
      <w:r w:rsidRPr="00D31909">
        <w:rPr>
          <w:b/>
        </w:rPr>
        <w:t>)</w:t>
      </w:r>
    </w:p>
    <w:tbl>
      <w:tblPr>
        <w:tblStyle w:val="Grigliatabella"/>
        <w:tblW w:w="0" w:type="auto"/>
        <w:tblLook w:val="04A0" w:firstRow="1" w:lastRow="0" w:firstColumn="1" w:lastColumn="0" w:noHBand="0" w:noVBand="1"/>
      </w:tblPr>
      <w:tblGrid>
        <w:gridCol w:w="4781"/>
        <w:gridCol w:w="3389"/>
        <w:gridCol w:w="1458"/>
      </w:tblGrid>
      <w:tr w:rsidR="00D31909" w:rsidTr="00D31909">
        <w:tc>
          <w:tcPr>
            <w:tcW w:w="4815" w:type="dxa"/>
          </w:tcPr>
          <w:p w:rsidR="00327C78" w:rsidRDefault="00327C78" w:rsidP="00327C78">
            <w:r>
              <w:t>Al q</w:t>
            </w:r>
            <w:r w:rsidR="00D31909">
              <w:t>uesito</w:t>
            </w:r>
            <w:r>
              <w:t xml:space="preserve"> si risponde con una sola crocetta</w:t>
            </w:r>
          </w:p>
          <w:p w:rsidR="00D31909" w:rsidRDefault="00D31909"/>
        </w:tc>
        <w:tc>
          <w:tcPr>
            <w:tcW w:w="3402" w:type="dxa"/>
          </w:tcPr>
          <w:p w:rsidR="00327C78" w:rsidRDefault="00327C78">
            <w:r>
              <w:t>In casi o di errore barrare la prima croce e apporne una seconda.</w:t>
            </w:r>
          </w:p>
          <w:p w:rsidR="00327C78" w:rsidRDefault="00327C78" w:rsidP="00327C78">
            <w:r>
              <w:t>Alla fine della prova vanno segnalate, con un numero, le correzioni apportate</w:t>
            </w:r>
          </w:p>
        </w:tc>
        <w:tc>
          <w:tcPr>
            <w:tcW w:w="1411" w:type="dxa"/>
          </w:tcPr>
          <w:p w:rsidR="00D31909" w:rsidRDefault="00327C78">
            <w:r>
              <w:t>R</w:t>
            </w:r>
            <w:r w:rsidR="00D31909">
              <w:t>isultato</w:t>
            </w:r>
          </w:p>
          <w:p w:rsidR="00327C78" w:rsidRDefault="00327C78">
            <w:r>
              <w:t>(</w:t>
            </w:r>
            <w:proofErr w:type="gramStart"/>
            <w:r>
              <w:t>riservato</w:t>
            </w:r>
            <w:proofErr w:type="gramEnd"/>
            <w:r>
              <w:t xml:space="preserve"> alla commissione)</w:t>
            </w:r>
          </w:p>
        </w:tc>
      </w:tr>
      <w:tr w:rsidR="00D31909" w:rsidTr="00327C78">
        <w:tc>
          <w:tcPr>
            <w:tcW w:w="4815" w:type="dxa"/>
          </w:tcPr>
          <w:p w:rsidR="00B57666" w:rsidRPr="00B57666" w:rsidRDefault="00B57666" w:rsidP="00B57666">
            <w:pPr>
              <w:rPr>
                <w:sz w:val="28"/>
                <w:szCs w:val="28"/>
              </w:rPr>
            </w:pPr>
            <w:r w:rsidRPr="00B57666">
              <w:rPr>
                <w:sz w:val="28"/>
                <w:szCs w:val="28"/>
              </w:rPr>
              <w:t>Il presidente della Repubblica è eletto:</w:t>
            </w:r>
          </w:p>
          <w:p w:rsidR="00D31909" w:rsidRPr="00B57666" w:rsidRDefault="00D31909" w:rsidP="00B57666">
            <w:pPr>
              <w:rPr>
                <w:sz w:val="28"/>
                <w:szCs w:val="28"/>
              </w:rPr>
            </w:pPr>
          </w:p>
        </w:tc>
        <w:tc>
          <w:tcPr>
            <w:tcW w:w="3402" w:type="dxa"/>
          </w:tcPr>
          <w:p w:rsidR="00B57666" w:rsidRDefault="00B57666" w:rsidP="00B57666">
            <w:pPr>
              <w:numPr>
                <w:ilvl w:val="0"/>
                <w:numId w:val="1"/>
              </w:numPr>
            </w:pPr>
            <w:proofErr w:type="gramStart"/>
            <w:r>
              <w:t>da</w:t>
            </w:r>
            <w:proofErr w:type="gramEnd"/>
            <w:r>
              <w:t xml:space="preserve"> deputati e senatori, esclusi i senatori a vita</w:t>
            </w:r>
          </w:p>
          <w:p w:rsidR="00B57666" w:rsidRDefault="00B57666" w:rsidP="00B57666">
            <w:pPr>
              <w:numPr>
                <w:ilvl w:val="0"/>
                <w:numId w:val="1"/>
              </w:numPr>
            </w:pPr>
            <w:proofErr w:type="gramStart"/>
            <w:r>
              <w:t>dai</w:t>
            </w:r>
            <w:proofErr w:type="gramEnd"/>
            <w:r>
              <w:t xml:space="preserve"> membri del parlamento  e dai delegati dei consigli regionali</w:t>
            </w:r>
          </w:p>
          <w:p w:rsidR="00B57666" w:rsidRDefault="00B57666" w:rsidP="00B57666">
            <w:pPr>
              <w:numPr>
                <w:ilvl w:val="0"/>
                <w:numId w:val="1"/>
              </w:numPr>
            </w:pPr>
            <w:proofErr w:type="gramStart"/>
            <w:r>
              <w:t>da</w:t>
            </w:r>
            <w:proofErr w:type="gramEnd"/>
            <w:r>
              <w:t xml:space="preserve"> deputati e senatori e dai deputati al parlamento europeo, eletti nella circoscrizione italiana</w:t>
            </w:r>
          </w:p>
          <w:p w:rsidR="00D31909" w:rsidRDefault="00D31909" w:rsidP="00B57666">
            <w:pPr>
              <w:ind w:left="720"/>
            </w:pPr>
          </w:p>
        </w:tc>
        <w:tc>
          <w:tcPr>
            <w:tcW w:w="1411" w:type="dxa"/>
            <w:shd w:val="clear" w:color="auto" w:fill="F2F2F2" w:themeFill="background1" w:themeFillShade="F2"/>
          </w:tcPr>
          <w:p w:rsidR="00D31909" w:rsidRDefault="00105EF0">
            <w:proofErr w:type="gramStart"/>
            <w:r>
              <w:t>b</w:t>
            </w:r>
            <w:proofErr w:type="gramEnd"/>
          </w:p>
        </w:tc>
      </w:tr>
      <w:tr w:rsidR="00D31909" w:rsidTr="00327C78">
        <w:tc>
          <w:tcPr>
            <w:tcW w:w="4815" w:type="dxa"/>
          </w:tcPr>
          <w:p w:rsidR="006231C9" w:rsidRPr="006231C9" w:rsidRDefault="006231C9" w:rsidP="006231C9">
            <w:pPr>
              <w:rPr>
                <w:sz w:val="28"/>
                <w:szCs w:val="28"/>
              </w:rPr>
            </w:pPr>
            <w:r w:rsidRPr="006231C9">
              <w:rPr>
                <w:sz w:val="28"/>
                <w:szCs w:val="28"/>
              </w:rPr>
              <w:t>Le regioni a Statuto speciale sono:</w:t>
            </w:r>
          </w:p>
          <w:p w:rsidR="00D31909" w:rsidRPr="0043464A" w:rsidRDefault="00D31909" w:rsidP="006231C9">
            <w:pPr>
              <w:rPr>
                <w:sz w:val="28"/>
                <w:szCs w:val="28"/>
              </w:rPr>
            </w:pPr>
          </w:p>
        </w:tc>
        <w:tc>
          <w:tcPr>
            <w:tcW w:w="3402" w:type="dxa"/>
          </w:tcPr>
          <w:p w:rsidR="006231C9" w:rsidRDefault="006231C9" w:rsidP="006231C9">
            <w:pPr>
              <w:numPr>
                <w:ilvl w:val="0"/>
                <w:numId w:val="1"/>
              </w:numPr>
            </w:pPr>
            <w:proofErr w:type="gramStart"/>
            <w:r>
              <w:t>il</w:t>
            </w:r>
            <w:proofErr w:type="gramEnd"/>
            <w:r>
              <w:t xml:space="preserve"> Friuli Venezia Giulia, la Sicilia,  il Trentino, l’Alto Adige/Südtirol e la Valle d'Aosta</w:t>
            </w:r>
          </w:p>
          <w:p w:rsidR="006231C9" w:rsidRDefault="006231C9" w:rsidP="006231C9">
            <w:pPr>
              <w:numPr>
                <w:ilvl w:val="0"/>
                <w:numId w:val="1"/>
              </w:numPr>
            </w:pPr>
            <w:proofErr w:type="gramStart"/>
            <w:r>
              <w:t>il</w:t>
            </w:r>
            <w:proofErr w:type="gramEnd"/>
            <w:r>
              <w:t xml:space="preserve"> Friuli Venezia Giulia, la Sardegna, la Sicilia, il Trentino-Alto Adige e la Valle d'Aosta</w:t>
            </w:r>
          </w:p>
          <w:p w:rsidR="00D31909" w:rsidRDefault="006231C9" w:rsidP="006231C9">
            <w:pPr>
              <w:numPr>
                <w:ilvl w:val="0"/>
                <w:numId w:val="1"/>
              </w:numPr>
            </w:pPr>
            <w:proofErr w:type="gramStart"/>
            <w:r>
              <w:t>il</w:t>
            </w:r>
            <w:proofErr w:type="gramEnd"/>
            <w:r>
              <w:t xml:space="preserve"> Friuli Venezia Giulia, la Sardegna, la Campania, il Trentino-Alto Adige e la Valle d'Aosta</w:t>
            </w:r>
          </w:p>
        </w:tc>
        <w:tc>
          <w:tcPr>
            <w:tcW w:w="1411" w:type="dxa"/>
            <w:shd w:val="clear" w:color="auto" w:fill="F2F2F2" w:themeFill="background1" w:themeFillShade="F2"/>
          </w:tcPr>
          <w:p w:rsidR="00D31909" w:rsidRDefault="00105EF0">
            <w:proofErr w:type="gramStart"/>
            <w:r>
              <w:t>b</w:t>
            </w:r>
            <w:proofErr w:type="gramEnd"/>
          </w:p>
        </w:tc>
      </w:tr>
      <w:tr w:rsidR="00D31909" w:rsidTr="00327C78">
        <w:tc>
          <w:tcPr>
            <w:tcW w:w="4815" w:type="dxa"/>
          </w:tcPr>
          <w:p w:rsidR="006231C9" w:rsidRPr="006231C9" w:rsidRDefault="006231C9" w:rsidP="006231C9">
            <w:pPr>
              <w:rPr>
                <w:sz w:val="28"/>
                <w:szCs w:val="28"/>
              </w:rPr>
            </w:pPr>
            <w:proofErr w:type="gramStart"/>
            <w:r w:rsidRPr="006231C9">
              <w:rPr>
                <w:sz w:val="28"/>
                <w:szCs w:val="28"/>
              </w:rPr>
              <w:t>il</w:t>
            </w:r>
            <w:proofErr w:type="gramEnd"/>
            <w:r w:rsidRPr="006231C9">
              <w:rPr>
                <w:sz w:val="28"/>
                <w:szCs w:val="28"/>
              </w:rPr>
              <w:t xml:space="preserve"> Presidente della Repubblica presiede:</w:t>
            </w:r>
          </w:p>
          <w:p w:rsidR="00D31909" w:rsidRDefault="00D31909" w:rsidP="006231C9">
            <w:pPr>
              <w:ind w:left="720"/>
            </w:pPr>
          </w:p>
        </w:tc>
        <w:tc>
          <w:tcPr>
            <w:tcW w:w="3402" w:type="dxa"/>
          </w:tcPr>
          <w:p w:rsidR="006231C9" w:rsidRDefault="006231C9" w:rsidP="006231C9">
            <w:pPr>
              <w:numPr>
                <w:ilvl w:val="0"/>
                <w:numId w:val="1"/>
              </w:numPr>
            </w:pPr>
            <w:proofErr w:type="gramStart"/>
            <w:r>
              <w:t>il</w:t>
            </w:r>
            <w:proofErr w:type="gramEnd"/>
            <w:r>
              <w:t xml:space="preserve"> Consiglio di Stato</w:t>
            </w:r>
          </w:p>
          <w:p w:rsidR="006231C9" w:rsidRDefault="006231C9" w:rsidP="006231C9">
            <w:pPr>
              <w:numPr>
                <w:ilvl w:val="0"/>
                <w:numId w:val="1"/>
              </w:numPr>
            </w:pPr>
            <w:proofErr w:type="gramStart"/>
            <w:r>
              <w:t>il</w:t>
            </w:r>
            <w:proofErr w:type="gramEnd"/>
            <w:r>
              <w:t xml:space="preserve"> Consiglio Nazionale dell’Economia  e del Lavoro</w:t>
            </w:r>
          </w:p>
          <w:p w:rsidR="00D31909" w:rsidRDefault="006231C9" w:rsidP="006231C9">
            <w:pPr>
              <w:numPr>
                <w:ilvl w:val="0"/>
                <w:numId w:val="1"/>
              </w:numPr>
            </w:pPr>
            <w:proofErr w:type="gramStart"/>
            <w:r>
              <w:t>il</w:t>
            </w:r>
            <w:proofErr w:type="gramEnd"/>
            <w:r>
              <w:t xml:space="preserve"> Consiglio Supremo di Difesa</w:t>
            </w:r>
          </w:p>
        </w:tc>
        <w:tc>
          <w:tcPr>
            <w:tcW w:w="1411" w:type="dxa"/>
            <w:shd w:val="clear" w:color="auto" w:fill="F2F2F2" w:themeFill="background1" w:themeFillShade="F2"/>
          </w:tcPr>
          <w:p w:rsidR="00D31909" w:rsidRDefault="00105EF0">
            <w:proofErr w:type="gramStart"/>
            <w:r>
              <w:t>c</w:t>
            </w:r>
            <w:proofErr w:type="gramEnd"/>
          </w:p>
        </w:tc>
      </w:tr>
      <w:tr w:rsidR="00D31909" w:rsidTr="00327C78">
        <w:tc>
          <w:tcPr>
            <w:tcW w:w="4815" w:type="dxa"/>
          </w:tcPr>
          <w:p w:rsidR="006231C9" w:rsidRPr="006231C9" w:rsidRDefault="0043464A" w:rsidP="006231C9">
            <w:pPr>
              <w:rPr>
                <w:sz w:val="28"/>
                <w:szCs w:val="28"/>
              </w:rPr>
            </w:pPr>
            <w:r w:rsidRPr="006231C9">
              <w:rPr>
                <w:sz w:val="28"/>
                <w:szCs w:val="28"/>
              </w:rPr>
              <w:t xml:space="preserve"> </w:t>
            </w:r>
            <w:proofErr w:type="gramStart"/>
            <w:r w:rsidR="006231C9" w:rsidRPr="006231C9">
              <w:rPr>
                <w:sz w:val="28"/>
                <w:szCs w:val="28"/>
              </w:rPr>
              <w:t>il</w:t>
            </w:r>
            <w:proofErr w:type="gramEnd"/>
            <w:r w:rsidR="006231C9" w:rsidRPr="006231C9">
              <w:rPr>
                <w:sz w:val="28"/>
                <w:szCs w:val="28"/>
              </w:rPr>
              <w:t xml:space="preserve"> Sindaco è Ufficiale di Governo?</w:t>
            </w:r>
          </w:p>
          <w:p w:rsidR="00D31909" w:rsidRPr="006231C9" w:rsidRDefault="00D31909" w:rsidP="006231C9">
            <w:pPr>
              <w:rPr>
                <w:sz w:val="28"/>
                <w:szCs w:val="28"/>
              </w:rPr>
            </w:pPr>
          </w:p>
        </w:tc>
        <w:tc>
          <w:tcPr>
            <w:tcW w:w="3402" w:type="dxa"/>
          </w:tcPr>
          <w:p w:rsidR="006231C9" w:rsidRDefault="006231C9" w:rsidP="006231C9">
            <w:pPr>
              <w:numPr>
                <w:ilvl w:val="0"/>
                <w:numId w:val="1"/>
              </w:numPr>
              <w:pBdr>
                <w:bottom w:val="single" w:sz="4" w:space="1" w:color="auto"/>
              </w:pBdr>
            </w:pPr>
            <w:r>
              <w:t>Si, ma solo in caso di calamità e come ufficiale sanitario</w:t>
            </w:r>
          </w:p>
          <w:p w:rsidR="006231C9" w:rsidRDefault="006231C9" w:rsidP="006231C9">
            <w:pPr>
              <w:numPr>
                <w:ilvl w:val="0"/>
                <w:numId w:val="1"/>
              </w:numPr>
              <w:pBdr>
                <w:bottom w:val="single" w:sz="4" w:space="1" w:color="auto"/>
              </w:pBdr>
            </w:pPr>
            <w:r>
              <w:t>Si, nelle materie di servizi elettorali, di stato civile, di anagrafe, di leva militare e di statistica</w:t>
            </w:r>
          </w:p>
          <w:p w:rsidR="00D31909" w:rsidRDefault="006231C9" w:rsidP="006231C9">
            <w:pPr>
              <w:numPr>
                <w:ilvl w:val="0"/>
                <w:numId w:val="1"/>
              </w:numPr>
              <w:pBdr>
                <w:bottom w:val="single" w:sz="4" w:space="1" w:color="auto"/>
              </w:pBdr>
            </w:pPr>
            <w:r>
              <w:t>Si, quando ha la delega del Prefetto</w:t>
            </w:r>
          </w:p>
        </w:tc>
        <w:tc>
          <w:tcPr>
            <w:tcW w:w="1411" w:type="dxa"/>
            <w:shd w:val="clear" w:color="auto" w:fill="F2F2F2" w:themeFill="background1" w:themeFillShade="F2"/>
          </w:tcPr>
          <w:p w:rsidR="00D31909" w:rsidRDefault="00105EF0">
            <w:proofErr w:type="gramStart"/>
            <w:r>
              <w:t>b</w:t>
            </w:r>
            <w:proofErr w:type="gramEnd"/>
          </w:p>
        </w:tc>
      </w:tr>
      <w:tr w:rsidR="00D31909" w:rsidTr="00327C78">
        <w:tc>
          <w:tcPr>
            <w:tcW w:w="4815" w:type="dxa"/>
          </w:tcPr>
          <w:p w:rsidR="00D31909" w:rsidRPr="0043464A" w:rsidRDefault="006231C9" w:rsidP="006231C9">
            <w:pPr>
              <w:rPr>
                <w:sz w:val="28"/>
                <w:szCs w:val="28"/>
              </w:rPr>
            </w:pPr>
            <w:r w:rsidRPr="006231C9">
              <w:rPr>
                <w:sz w:val="28"/>
                <w:szCs w:val="28"/>
              </w:rPr>
              <w:t xml:space="preserve">Le giunte comunali sono </w:t>
            </w:r>
            <w:proofErr w:type="gramStart"/>
            <w:r w:rsidRPr="006231C9">
              <w:rPr>
                <w:sz w:val="28"/>
                <w:szCs w:val="28"/>
              </w:rPr>
              <w:t>composte  da</w:t>
            </w:r>
            <w:proofErr w:type="gramEnd"/>
            <w:r w:rsidRPr="006231C9">
              <w:rPr>
                <w:sz w:val="28"/>
                <w:szCs w:val="28"/>
              </w:rPr>
              <w:t>:</w:t>
            </w:r>
          </w:p>
        </w:tc>
        <w:tc>
          <w:tcPr>
            <w:tcW w:w="3402" w:type="dxa"/>
          </w:tcPr>
          <w:p w:rsidR="006231C9" w:rsidRDefault="006231C9" w:rsidP="006231C9">
            <w:pPr>
              <w:numPr>
                <w:ilvl w:val="0"/>
                <w:numId w:val="1"/>
              </w:numPr>
              <w:pBdr>
                <w:bottom w:val="single" w:sz="4" w:space="1" w:color="auto"/>
              </w:pBdr>
            </w:pPr>
            <w:proofErr w:type="gramStart"/>
            <w:r>
              <w:t>il</w:t>
            </w:r>
            <w:proofErr w:type="gramEnd"/>
            <w:r>
              <w:t xml:space="preserve"> sindaco, e gli assessori, scelti dallo stesso, nel numero stabilito dagli statuti</w:t>
            </w:r>
          </w:p>
          <w:p w:rsidR="006231C9" w:rsidRDefault="006231C9" w:rsidP="006231C9">
            <w:pPr>
              <w:numPr>
                <w:ilvl w:val="0"/>
                <w:numId w:val="1"/>
              </w:numPr>
              <w:pBdr>
                <w:bottom w:val="single" w:sz="4" w:space="1" w:color="auto"/>
              </w:pBdr>
            </w:pPr>
            <w:proofErr w:type="gramStart"/>
            <w:r>
              <w:t>il</w:t>
            </w:r>
            <w:proofErr w:type="gramEnd"/>
            <w:r>
              <w:t xml:space="preserve"> sindaco, gli assessori ed il segretario generale </w:t>
            </w:r>
          </w:p>
          <w:p w:rsidR="00D31909" w:rsidRDefault="006231C9" w:rsidP="006231C9">
            <w:pPr>
              <w:numPr>
                <w:ilvl w:val="0"/>
                <w:numId w:val="1"/>
              </w:numPr>
              <w:pBdr>
                <w:bottom w:val="single" w:sz="4" w:space="1" w:color="auto"/>
              </w:pBdr>
            </w:pPr>
            <w:proofErr w:type="gramStart"/>
            <w:r>
              <w:t>gli</w:t>
            </w:r>
            <w:proofErr w:type="gramEnd"/>
            <w:r>
              <w:t xml:space="preserve"> assessori ed il presidente del consiglio comunale</w:t>
            </w:r>
          </w:p>
        </w:tc>
        <w:tc>
          <w:tcPr>
            <w:tcW w:w="1411" w:type="dxa"/>
            <w:shd w:val="clear" w:color="auto" w:fill="F2F2F2" w:themeFill="background1" w:themeFillShade="F2"/>
          </w:tcPr>
          <w:p w:rsidR="00D31909" w:rsidRDefault="00105EF0">
            <w:proofErr w:type="gramStart"/>
            <w:r>
              <w:t>a</w:t>
            </w:r>
            <w:proofErr w:type="gramEnd"/>
          </w:p>
        </w:tc>
      </w:tr>
      <w:tr w:rsidR="00D31909" w:rsidTr="00327C78">
        <w:tc>
          <w:tcPr>
            <w:tcW w:w="4815" w:type="dxa"/>
          </w:tcPr>
          <w:p w:rsidR="00205B10" w:rsidRPr="00205B10" w:rsidRDefault="00205B10" w:rsidP="00205B10">
            <w:pPr>
              <w:rPr>
                <w:sz w:val="28"/>
                <w:szCs w:val="28"/>
              </w:rPr>
            </w:pPr>
            <w:proofErr w:type="gramStart"/>
            <w:r w:rsidRPr="00205B10">
              <w:rPr>
                <w:sz w:val="28"/>
                <w:szCs w:val="28"/>
              </w:rPr>
              <w:lastRenderedPageBreak/>
              <w:t>i</w:t>
            </w:r>
            <w:proofErr w:type="gramEnd"/>
            <w:r w:rsidRPr="00205B10">
              <w:rPr>
                <w:sz w:val="28"/>
                <w:szCs w:val="28"/>
              </w:rPr>
              <w:t xml:space="preserve"> cittadini possono avere accesso agli atti del Comune?</w:t>
            </w:r>
          </w:p>
          <w:p w:rsidR="00205B10" w:rsidRPr="00205B10" w:rsidRDefault="00205B10" w:rsidP="00205B10">
            <w:pPr>
              <w:rPr>
                <w:sz w:val="28"/>
                <w:szCs w:val="28"/>
              </w:rPr>
            </w:pPr>
          </w:p>
          <w:p w:rsidR="00D31909" w:rsidRPr="008F7F81" w:rsidRDefault="00D31909" w:rsidP="008F7F81">
            <w:pPr>
              <w:rPr>
                <w:sz w:val="28"/>
                <w:szCs w:val="28"/>
              </w:rPr>
            </w:pPr>
          </w:p>
        </w:tc>
        <w:tc>
          <w:tcPr>
            <w:tcW w:w="3402" w:type="dxa"/>
          </w:tcPr>
          <w:p w:rsidR="00205B10" w:rsidRDefault="00205B10" w:rsidP="00205B10">
            <w:pPr>
              <w:numPr>
                <w:ilvl w:val="0"/>
                <w:numId w:val="1"/>
              </w:numPr>
            </w:pPr>
            <w:r>
              <w:t>Si, ma solo se relativi a questioni familiari</w:t>
            </w:r>
          </w:p>
          <w:p w:rsidR="00205B10" w:rsidRDefault="00205B10" w:rsidP="00205B10">
            <w:pPr>
              <w:numPr>
                <w:ilvl w:val="0"/>
                <w:numId w:val="1"/>
              </w:numPr>
            </w:pPr>
            <w:r>
              <w:t>Si, ma non quelli che riguardano il diritto alla riservatezza delle persone, dei gruppi o delle imprese</w:t>
            </w:r>
          </w:p>
          <w:p w:rsidR="00205B10" w:rsidRDefault="00205B10" w:rsidP="00205B10">
            <w:pPr>
              <w:numPr>
                <w:ilvl w:val="0"/>
                <w:numId w:val="1"/>
              </w:numPr>
            </w:pPr>
            <w:r>
              <w:t>Si, ma solo con riferimento alle questioni di inquinamento ambientale</w:t>
            </w:r>
          </w:p>
          <w:p w:rsidR="00D31909" w:rsidRDefault="00D31909" w:rsidP="008F7F81">
            <w:pPr>
              <w:ind w:left="720"/>
            </w:pPr>
          </w:p>
        </w:tc>
        <w:tc>
          <w:tcPr>
            <w:tcW w:w="1411" w:type="dxa"/>
            <w:shd w:val="clear" w:color="auto" w:fill="F2F2F2" w:themeFill="background1" w:themeFillShade="F2"/>
          </w:tcPr>
          <w:p w:rsidR="00D31909" w:rsidRDefault="00105EF0">
            <w:proofErr w:type="gramStart"/>
            <w:r>
              <w:t>b</w:t>
            </w:r>
            <w:proofErr w:type="gramEnd"/>
          </w:p>
        </w:tc>
      </w:tr>
      <w:tr w:rsidR="00D31909" w:rsidTr="00327C78">
        <w:tc>
          <w:tcPr>
            <w:tcW w:w="4815" w:type="dxa"/>
          </w:tcPr>
          <w:p w:rsidR="00D31909" w:rsidRPr="004266B5" w:rsidRDefault="004266B5" w:rsidP="004266B5">
            <w:pPr>
              <w:rPr>
                <w:sz w:val="28"/>
                <w:szCs w:val="28"/>
              </w:rPr>
            </w:pPr>
            <w:r w:rsidRPr="004266B5">
              <w:rPr>
                <w:sz w:val="28"/>
                <w:szCs w:val="28"/>
              </w:rPr>
              <w:t>Nell'ambito di una rete di biblioteche, come si definisce il metodo per cui ogni biblioteca contribuisce alla costruzione del catalogo unico, le cui descrizioni bibliografiche sono create dalla prima biblioteca che acquisisce quel documento?</w:t>
            </w:r>
          </w:p>
        </w:tc>
        <w:tc>
          <w:tcPr>
            <w:tcW w:w="3402" w:type="dxa"/>
          </w:tcPr>
          <w:p w:rsidR="004266B5" w:rsidRDefault="004266B5" w:rsidP="004266B5">
            <w:pPr>
              <w:numPr>
                <w:ilvl w:val="0"/>
                <w:numId w:val="1"/>
              </w:numPr>
            </w:pPr>
            <w:r w:rsidRPr="00356D6E">
              <w:t>Catalogazione centralizzata</w:t>
            </w:r>
          </w:p>
          <w:p w:rsidR="004266B5" w:rsidRDefault="004266B5" w:rsidP="004266B5">
            <w:pPr>
              <w:numPr>
                <w:ilvl w:val="0"/>
                <w:numId w:val="1"/>
              </w:numPr>
            </w:pPr>
            <w:r w:rsidRPr="00356D6E">
              <w:t>Catalogazione p</w:t>
            </w:r>
            <w:r w:rsidRPr="004266B5">
              <w:t>artecip</w:t>
            </w:r>
            <w:r w:rsidRPr="00356D6E">
              <w:t>ata.</w:t>
            </w:r>
          </w:p>
          <w:p w:rsidR="004266B5" w:rsidRDefault="004266B5" w:rsidP="004266B5">
            <w:pPr>
              <w:numPr>
                <w:ilvl w:val="0"/>
                <w:numId w:val="1"/>
              </w:numPr>
            </w:pPr>
            <w:r w:rsidRPr="00356D6E">
              <w:t>Catalogazione derivata.</w:t>
            </w:r>
          </w:p>
          <w:p w:rsidR="00D31909" w:rsidRDefault="00D31909" w:rsidP="004266B5">
            <w:pPr>
              <w:numPr>
                <w:ilvl w:val="0"/>
                <w:numId w:val="1"/>
              </w:numPr>
            </w:pPr>
          </w:p>
        </w:tc>
        <w:tc>
          <w:tcPr>
            <w:tcW w:w="1411" w:type="dxa"/>
            <w:shd w:val="clear" w:color="auto" w:fill="F2F2F2" w:themeFill="background1" w:themeFillShade="F2"/>
          </w:tcPr>
          <w:p w:rsidR="00D31909" w:rsidRDefault="004266B5">
            <w:proofErr w:type="gramStart"/>
            <w:r>
              <w:t>b</w:t>
            </w:r>
            <w:proofErr w:type="gramEnd"/>
          </w:p>
        </w:tc>
      </w:tr>
      <w:tr w:rsidR="00D31909" w:rsidTr="00327C78">
        <w:tc>
          <w:tcPr>
            <w:tcW w:w="4815" w:type="dxa"/>
          </w:tcPr>
          <w:p w:rsidR="00D31909" w:rsidRPr="008F7F81" w:rsidRDefault="004266B5" w:rsidP="004266B5">
            <w:pPr>
              <w:rPr>
                <w:sz w:val="28"/>
                <w:szCs w:val="28"/>
              </w:rPr>
            </w:pPr>
            <w:r w:rsidRPr="004266B5">
              <w:rPr>
                <w:sz w:val="28"/>
                <w:szCs w:val="28"/>
              </w:rPr>
              <w:t>La produzione libraria riconosciuta dalle università, in passato era affidata a librai ufficiali, denominati:</w:t>
            </w:r>
          </w:p>
        </w:tc>
        <w:tc>
          <w:tcPr>
            <w:tcW w:w="3402" w:type="dxa"/>
          </w:tcPr>
          <w:p w:rsidR="004266B5" w:rsidRDefault="004266B5" w:rsidP="004266B5">
            <w:pPr>
              <w:numPr>
                <w:ilvl w:val="0"/>
                <w:numId w:val="1"/>
              </w:numPr>
            </w:pPr>
            <w:r w:rsidRPr="00DE2DB7">
              <w:t>Rubricatori.</w:t>
            </w:r>
          </w:p>
          <w:p w:rsidR="004266B5" w:rsidRDefault="004266B5" w:rsidP="004266B5">
            <w:pPr>
              <w:numPr>
                <w:ilvl w:val="0"/>
                <w:numId w:val="1"/>
              </w:numPr>
            </w:pPr>
            <w:proofErr w:type="spellStart"/>
            <w:r w:rsidRPr="004266B5">
              <w:t>Stationarii</w:t>
            </w:r>
            <w:proofErr w:type="spellEnd"/>
            <w:r w:rsidRPr="004266B5">
              <w:t>.</w:t>
            </w:r>
          </w:p>
          <w:p w:rsidR="004266B5" w:rsidRDefault="004266B5" w:rsidP="004266B5">
            <w:pPr>
              <w:numPr>
                <w:ilvl w:val="0"/>
                <w:numId w:val="1"/>
              </w:numPr>
            </w:pPr>
            <w:r w:rsidRPr="00DE2DB7">
              <w:t>Calligrafi.</w:t>
            </w:r>
          </w:p>
          <w:p w:rsidR="00D31909" w:rsidRDefault="00D31909" w:rsidP="004266B5">
            <w:pPr>
              <w:ind w:left="360"/>
            </w:pPr>
          </w:p>
        </w:tc>
        <w:tc>
          <w:tcPr>
            <w:tcW w:w="1411" w:type="dxa"/>
            <w:shd w:val="clear" w:color="auto" w:fill="F2F2F2" w:themeFill="background1" w:themeFillShade="F2"/>
          </w:tcPr>
          <w:p w:rsidR="00D31909" w:rsidRDefault="004266B5">
            <w:proofErr w:type="gramStart"/>
            <w:r>
              <w:t>b</w:t>
            </w:r>
            <w:proofErr w:type="gramEnd"/>
          </w:p>
        </w:tc>
      </w:tr>
      <w:tr w:rsidR="00D31909" w:rsidTr="00327C78">
        <w:tc>
          <w:tcPr>
            <w:tcW w:w="4815" w:type="dxa"/>
          </w:tcPr>
          <w:p w:rsidR="00D31909" w:rsidRPr="004266B5" w:rsidRDefault="004266B5" w:rsidP="004266B5">
            <w:pPr>
              <w:rPr>
                <w:sz w:val="28"/>
                <w:szCs w:val="28"/>
              </w:rPr>
            </w:pPr>
            <w:r w:rsidRPr="004266B5">
              <w:rPr>
                <w:sz w:val="28"/>
                <w:szCs w:val="28"/>
              </w:rPr>
              <w:t>Com'era detto il fascicolo formato da quattro fogli doppi, corrispondenti a sedici pagine?</w:t>
            </w:r>
          </w:p>
        </w:tc>
        <w:tc>
          <w:tcPr>
            <w:tcW w:w="3402" w:type="dxa"/>
          </w:tcPr>
          <w:p w:rsidR="004266B5" w:rsidRDefault="004266B5" w:rsidP="004266B5">
            <w:pPr>
              <w:numPr>
                <w:ilvl w:val="0"/>
                <w:numId w:val="1"/>
              </w:numPr>
            </w:pPr>
            <w:proofErr w:type="spellStart"/>
            <w:r w:rsidRPr="00D4095F">
              <w:t>Sexto</w:t>
            </w:r>
            <w:proofErr w:type="spellEnd"/>
            <w:r w:rsidRPr="00D4095F">
              <w:t xml:space="preserve"> decimo.</w:t>
            </w:r>
          </w:p>
          <w:p w:rsidR="004266B5" w:rsidRDefault="004266B5" w:rsidP="004266B5">
            <w:pPr>
              <w:numPr>
                <w:ilvl w:val="0"/>
                <w:numId w:val="1"/>
              </w:numPr>
            </w:pPr>
            <w:proofErr w:type="spellStart"/>
            <w:r w:rsidRPr="00836CDE">
              <w:t>Quinio</w:t>
            </w:r>
            <w:proofErr w:type="spellEnd"/>
          </w:p>
          <w:p w:rsidR="004266B5" w:rsidRDefault="004266B5" w:rsidP="004266B5">
            <w:pPr>
              <w:numPr>
                <w:ilvl w:val="0"/>
                <w:numId w:val="1"/>
              </w:numPr>
            </w:pPr>
            <w:proofErr w:type="spellStart"/>
            <w:r w:rsidRPr="00836CDE">
              <w:t>Quat</w:t>
            </w:r>
            <w:r w:rsidRPr="004266B5">
              <w:t>ern</w:t>
            </w:r>
            <w:r w:rsidRPr="00836CDE">
              <w:t>io</w:t>
            </w:r>
            <w:proofErr w:type="spellEnd"/>
          </w:p>
          <w:p w:rsidR="00D31909" w:rsidRDefault="00D31909" w:rsidP="004266B5">
            <w:pPr>
              <w:ind w:left="360"/>
            </w:pPr>
          </w:p>
        </w:tc>
        <w:tc>
          <w:tcPr>
            <w:tcW w:w="1411" w:type="dxa"/>
            <w:shd w:val="clear" w:color="auto" w:fill="F2F2F2" w:themeFill="background1" w:themeFillShade="F2"/>
          </w:tcPr>
          <w:p w:rsidR="00D31909" w:rsidRDefault="004266B5">
            <w:proofErr w:type="gramStart"/>
            <w:r>
              <w:t>c</w:t>
            </w:r>
            <w:proofErr w:type="gramEnd"/>
          </w:p>
        </w:tc>
      </w:tr>
      <w:tr w:rsidR="00D31909" w:rsidTr="00327C78">
        <w:tc>
          <w:tcPr>
            <w:tcW w:w="4815" w:type="dxa"/>
          </w:tcPr>
          <w:p w:rsidR="004266B5" w:rsidRPr="004266B5" w:rsidRDefault="004266B5" w:rsidP="004266B5">
            <w:pPr>
              <w:rPr>
                <w:sz w:val="28"/>
                <w:szCs w:val="28"/>
              </w:rPr>
            </w:pPr>
            <w:r w:rsidRPr="004266B5">
              <w:rPr>
                <w:sz w:val="28"/>
                <w:szCs w:val="28"/>
              </w:rPr>
              <w:t>Perché, oltre che sul frontespizio o sul verso del frontespizio, il libro viene timbrato in una pagina interna, possibilmente sempre la stessa?</w:t>
            </w:r>
          </w:p>
          <w:p w:rsidR="00D31909" w:rsidRPr="0037153B" w:rsidRDefault="00D31909" w:rsidP="004266B5">
            <w:pPr>
              <w:rPr>
                <w:sz w:val="28"/>
                <w:szCs w:val="28"/>
              </w:rPr>
            </w:pPr>
          </w:p>
        </w:tc>
        <w:tc>
          <w:tcPr>
            <w:tcW w:w="3402" w:type="dxa"/>
          </w:tcPr>
          <w:p w:rsidR="004266B5" w:rsidRDefault="004266B5" w:rsidP="004266B5">
            <w:pPr>
              <w:numPr>
                <w:ilvl w:val="0"/>
                <w:numId w:val="1"/>
              </w:numPr>
            </w:pPr>
            <w:r w:rsidRPr="00836CDE">
              <w:t>Per indicare che il libro è pronto per il prestito.</w:t>
            </w:r>
          </w:p>
          <w:p w:rsidR="004266B5" w:rsidRDefault="004266B5" w:rsidP="004266B5">
            <w:pPr>
              <w:numPr>
                <w:ilvl w:val="0"/>
                <w:numId w:val="1"/>
              </w:numPr>
            </w:pPr>
            <w:r w:rsidRPr="00836CDE">
              <w:t xml:space="preserve">Per impedire </w:t>
            </w:r>
            <w:r w:rsidRPr="004266B5">
              <w:t>l'illegale s</w:t>
            </w:r>
            <w:r w:rsidRPr="00836CDE">
              <w:t>ottrazione del libro</w:t>
            </w:r>
          </w:p>
          <w:p w:rsidR="00D31909" w:rsidRDefault="004266B5" w:rsidP="004266B5">
            <w:pPr>
              <w:numPr>
                <w:ilvl w:val="0"/>
                <w:numId w:val="1"/>
              </w:numPr>
            </w:pPr>
            <w:r w:rsidRPr="00836CDE">
              <w:t>Per indicare che il libro è stato collocato</w:t>
            </w:r>
          </w:p>
        </w:tc>
        <w:tc>
          <w:tcPr>
            <w:tcW w:w="1411" w:type="dxa"/>
            <w:shd w:val="clear" w:color="auto" w:fill="F2F2F2" w:themeFill="background1" w:themeFillShade="F2"/>
          </w:tcPr>
          <w:p w:rsidR="00D31909" w:rsidRDefault="004266B5">
            <w:proofErr w:type="gramStart"/>
            <w:r>
              <w:t>b</w:t>
            </w:r>
            <w:proofErr w:type="gramEnd"/>
          </w:p>
        </w:tc>
      </w:tr>
      <w:tr w:rsidR="00D31909" w:rsidTr="00327C78">
        <w:tc>
          <w:tcPr>
            <w:tcW w:w="4815" w:type="dxa"/>
          </w:tcPr>
          <w:p w:rsidR="00D31909" w:rsidRDefault="00105EF0">
            <w:proofErr w:type="gramStart"/>
            <w:r w:rsidRPr="00105EF0">
              <w:rPr>
                <w:sz w:val="28"/>
                <w:szCs w:val="28"/>
              </w:rPr>
              <w:t>l'universo</w:t>
            </w:r>
            <w:proofErr w:type="gramEnd"/>
            <w:r w:rsidRPr="00105EF0">
              <w:rPr>
                <w:sz w:val="28"/>
                <w:szCs w:val="28"/>
              </w:rPr>
              <w:t xml:space="preserve"> bibliografico o documentario, inteso come l'insieme dei materiali di varia tipologia, forma e supporto, è definito:</w:t>
            </w:r>
          </w:p>
        </w:tc>
        <w:tc>
          <w:tcPr>
            <w:tcW w:w="3402" w:type="dxa"/>
          </w:tcPr>
          <w:p w:rsidR="00D31909" w:rsidRDefault="00105EF0" w:rsidP="00105EF0">
            <w:pPr>
              <w:numPr>
                <w:ilvl w:val="0"/>
                <w:numId w:val="1"/>
              </w:numPr>
            </w:pPr>
            <w:proofErr w:type="spellStart"/>
            <w:r>
              <w:t>Biblioverso</w:t>
            </w:r>
            <w:proofErr w:type="spellEnd"/>
          </w:p>
          <w:p w:rsidR="00105EF0" w:rsidRDefault="00105EF0" w:rsidP="00105EF0">
            <w:pPr>
              <w:numPr>
                <w:ilvl w:val="0"/>
                <w:numId w:val="1"/>
              </w:numPr>
            </w:pPr>
            <w:proofErr w:type="spellStart"/>
            <w:r>
              <w:t>Docuverso</w:t>
            </w:r>
            <w:proofErr w:type="spellEnd"/>
          </w:p>
          <w:p w:rsidR="00105EF0" w:rsidRDefault="00105EF0" w:rsidP="00105EF0">
            <w:pPr>
              <w:numPr>
                <w:ilvl w:val="0"/>
                <w:numId w:val="1"/>
              </w:numPr>
            </w:pPr>
            <w:proofErr w:type="spellStart"/>
            <w:r>
              <w:t>Mediaverso</w:t>
            </w:r>
            <w:proofErr w:type="spellEnd"/>
          </w:p>
        </w:tc>
        <w:tc>
          <w:tcPr>
            <w:tcW w:w="1411" w:type="dxa"/>
            <w:shd w:val="clear" w:color="auto" w:fill="F2F2F2" w:themeFill="background1" w:themeFillShade="F2"/>
          </w:tcPr>
          <w:p w:rsidR="00D31909" w:rsidRDefault="00105EF0">
            <w:proofErr w:type="gramStart"/>
            <w:r>
              <w:t>b</w:t>
            </w:r>
            <w:proofErr w:type="gramEnd"/>
          </w:p>
        </w:tc>
      </w:tr>
      <w:tr w:rsidR="00D31909" w:rsidTr="00327C78">
        <w:tc>
          <w:tcPr>
            <w:tcW w:w="4815" w:type="dxa"/>
          </w:tcPr>
          <w:p w:rsidR="00D31909" w:rsidRDefault="00105EF0">
            <w:r w:rsidRPr="00105EF0">
              <w:rPr>
                <w:sz w:val="28"/>
                <w:szCs w:val="28"/>
              </w:rPr>
              <w:t>Le consulenze informative durante le quali i bibliotecari raccomandano, interpretano e valutano risorse informative per soddisfare specifici bisogni informativi sono dette:</w:t>
            </w:r>
          </w:p>
        </w:tc>
        <w:tc>
          <w:tcPr>
            <w:tcW w:w="3402" w:type="dxa"/>
          </w:tcPr>
          <w:p w:rsidR="00D31909" w:rsidRDefault="00105EF0" w:rsidP="00105EF0">
            <w:pPr>
              <w:numPr>
                <w:ilvl w:val="0"/>
                <w:numId w:val="1"/>
              </w:numPr>
            </w:pPr>
            <w:r>
              <w:t xml:space="preserve">Le transazioni di </w:t>
            </w:r>
            <w:proofErr w:type="spellStart"/>
            <w:r>
              <w:t>reference</w:t>
            </w:r>
            <w:proofErr w:type="spellEnd"/>
          </w:p>
          <w:p w:rsidR="00105EF0" w:rsidRDefault="00105EF0" w:rsidP="00105EF0">
            <w:pPr>
              <w:numPr>
                <w:ilvl w:val="0"/>
                <w:numId w:val="1"/>
              </w:numPr>
            </w:pPr>
            <w:r w:rsidRPr="00105EF0">
              <w:t xml:space="preserve">Le </w:t>
            </w:r>
            <w:r>
              <w:t xml:space="preserve">consulenze di </w:t>
            </w:r>
            <w:proofErr w:type="spellStart"/>
            <w:r>
              <w:t>finding</w:t>
            </w:r>
            <w:proofErr w:type="spellEnd"/>
          </w:p>
          <w:p w:rsidR="00105EF0" w:rsidRDefault="00105EF0" w:rsidP="00105EF0">
            <w:pPr>
              <w:numPr>
                <w:ilvl w:val="0"/>
                <w:numId w:val="1"/>
              </w:numPr>
            </w:pPr>
            <w:r w:rsidRPr="00105EF0">
              <w:t>Le atti</w:t>
            </w:r>
            <w:r w:rsidRPr="00105EF0">
              <w:rPr>
                <w:i/>
              </w:rPr>
              <w:t xml:space="preserve">vità </w:t>
            </w:r>
            <w:r w:rsidRPr="00105EF0">
              <w:t xml:space="preserve">di </w:t>
            </w:r>
            <w:proofErr w:type="spellStart"/>
            <w:r w:rsidRPr="00105EF0">
              <w:t>answering</w:t>
            </w:r>
            <w:proofErr w:type="spellEnd"/>
            <w:r w:rsidRPr="00105EF0">
              <w:t>.</w:t>
            </w:r>
          </w:p>
        </w:tc>
        <w:tc>
          <w:tcPr>
            <w:tcW w:w="1411" w:type="dxa"/>
            <w:shd w:val="clear" w:color="auto" w:fill="F2F2F2" w:themeFill="background1" w:themeFillShade="F2"/>
          </w:tcPr>
          <w:p w:rsidR="00D31909" w:rsidRDefault="00B91C8A">
            <w:proofErr w:type="gramStart"/>
            <w:r>
              <w:t>a</w:t>
            </w:r>
            <w:proofErr w:type="gramEnd"/>
          </w:p>
        </w:tc>
      </w:tr>
      <w:tr w:rsidR="00D31909" w:rsidTr="00327C78">
        <w:tc>
          <w:tcPr>
            <w:tcW w:w="4815" w:type="dxa"/>
          </w:tcPr>
          <w:p w:rsidR="00D31909" w:rsidRDefault="00B91C8A">
            <w:r w:rsidRPr="00B91C8A">
              <w:rPr>
                <w:sz w:val="28"/>
                <w:szCs w:val="28"/>
              </w:rPr>
              <w:t>La dichiarazione di interesse locale di un archivio, viene stabilita dalla regione veneto sentiti:</w:t>
            </w:r>
          </w:p>
        </w:tc>
        <w:tc>
          <w:tcPr>
            <w:tcW w:w="3402" w:type="dxa"/>
          </w:tcPr>
          <w:p w:rsidR="00B91C8A" w:rsidRPr="00B91C8A" w:rsidRDefault="00B91C8A" w:rsidP="00B91C8A">
            <w:pPr>
              <w:numPr>
                <w:ilvl w:val="0"/>
                <w:numId w:val="1"/>
              </w:numPr>
              <w:rPr>
                <w:i/>
              </w:rPr>
            </w:pPr>
            <w:r w:rsidRPr="00B91C8A">
              <w:rPr>
                <w:i/>
              </w:rPr>
              <w:t>l’Archivio di stato provinciale e la Prefettura</w:t>
            </w:r>
          </w:p>
          <w:p w:rsidR="00B91C8A" w:rsidRPr="00B91C8A" w:rsidRDefault="00B91C8A" w:rsidP="00B91C8A">
            <w:pPr>
              <w:numPr>
                <w:ilvl w:val="0"/>
                <w:numId w:val="1"/>
              </w:numPr>
              <w:rPr>
                <w:i/>
              </w:rPr>
            </w:pPr>
            <w:proofErr w:type="gramStart"/>
            <w:r w:rsidRPr="00B91C8A">
              <w:rPr>
                <w:i/>
              </w:rPr>
              <w:t>il</w:t>
            </w:r>
            <w:proofErr w:type="gramEnd"/>
            <w:r w:rsidRPr="00B91C8A">
              <w:rPr>
                <w:i/>
              </w:rPr>
              <w:t xml:space="preserve"> Comune e la Direzione regionale ai beni culturali del MIBACT</w:t>
            </w:r>
          </w:p>
          <w:p w:rsidR="00B91C8A" w:rsidRDefault="00B91C8A" w:rsidP="00B91C8A">
            <w:pPr>
              <w:numPr>
                <w:ilvl w:val="0"/>
                <w:numId w:val="1"/>
              </w:numPr>
            </w:pPr>
            <w:proofErr w:type="gramStart"/>
            <w:r w:rsidRPr="00B91C8A">
              <w:rPr>
                <w:i/>
              </w:rPr>
              <w:t>il</w:t>
            </w:r>
            <w:proofErr w:type="gramEnd"/>
            <w:r w:rsidRPr="00B91C8A">
              <w:rPr>
                <w:i/>
              </w:rPr>
              <w:t xml:space="preserve"> Comune competente per territorio e la sovrintendenza archivistica</w:t>
            </w:r>
          </w:p>
        </w:tc>
        <w:tc>
          <w:tcPr>
            <w:tcW w:w="1411" w:type="dxa"/>
            <w:shd w:val="clear" w:color="auto" w:fill="F2F2F2" w:themeFill="background1" w:themeFillShade="F2"/>
          </w:tcPr>
          <w:p w:rsidR="00D31909" w:rsidRDefault="00B91C8A">
            <w:proofErr w:type="gramStart"/>
            <w:r>
              <w:t>c</w:t>
            </w:r>
            <w:proofErr w:type="gramEnd"/>
          </w:p>
        </w:tc>
      </w:tr>
      <w:tr w:rsidR="00D31909" w:rsidTr="00327C78">
        <w:tc>
          <w:tcPr>
            <w:tcW w:w="4815" w:type="dxa"/>
          </w:tcPr>
          <w:p w:rsidR="00D31909" w:rsidRDefault="00D31909"/>
        </w:tc>
        <w:tc>
          <w:tcPr>
            <w:tcW w:w="3402" w:type="dxa"/>
          </w:tcPr>
          <w:p w:rsidR="00D31909" w:rsidRDefault="00D31909"/>
        </w:tc>
        <w:tc>
          <w:tcPr>
            <w:tcW w:w="1411" w:type="dxa"/>
            <w:shd w:val="clear" w:color="auto" w:fill="F2F2F2" w:themeFill="background1" w:themeFillShade="F2"/>
          </w:tcPr>
          <w:p w:rsidR="00D31909" w:rsidRDefault="00D31909"/>
        </w:tc>
      </w:tr>
      <w:tr w:rsidR="00D31909" w:rsidTr="00327C78">
        <w:tc>
          <w:tcPr>
            <w:tcW w:w="4815" w:type="dxa"/>
          </w:tcPr>
          <w:p w:rsidR="00D31909" w:rsidRDefault="00D31909"/>
        </w:tc>
        <w:tc>
          <w:tcPr>
            <w:tcW w:w="3402" w:type="dxa"/>
          </w:tcPr>
          <w:p w:rsidR="00D31909" w:rsidRDefault="00D31909"/>
        </w:tc>
        <w:tc>
          <w:tcPr>
            <w:tcW w:w="1411" w:type="dxa"/>
            <w:shd w:val="clear" w:color="auto" w:fill="F2F2F2" w:themeFill="background1" w:themeFillShade="F2"/>
          </w:tcPr>
          <w:p w:rsidR="00D31909" w:rsidRDefault="00D31909"/>
        </w:tc>
      </w:tr>
      <w:tr w:rsidR="00D31909" w:rsidTr="00327C78">
        <w:tc>
          <w:tcPr>
            <w:tcW w:w="4815" w:type="dxa"/>
          </w:tcPr>
          <w:p w:rsidR="00D31909" w:rsidRDefault="00D31909"/>
        </w:tc>
        <w:tc>
          <w:tcPr>
            <w:tcW w:w="3402" w:type="dxa"/>
          </w:tcPr>
          <w:p w:rsidR="00D31909" w:rsidRDefault="00D31909"/>
        </w:tc>
        <w:tc>
          <w:tcPr>
            <w:tcW w:w="1411" w:type="dxa"/>
            <w:shd w:val="clear" w:color="auto" w:fill="F2F2F2" w:themeFill="background1" w:themeFillShade="F2"/>
          </w:tcPr>
          <w:p w:rsidR="00D31909" w:rsidRDefault="00D31909"/>
        </w:tc>
      </w:tr>
      <w:tr w:rsidR="00D31909" w:rsidTr="00327C78">
        <w:tc>
          <w:tcPr>
            <w:tcW w:w="4815" w:type="dxa"/>
          </w:tcPr>
          <w:p w:rsidR="00D31909" w:rsidRDefault="00D31909"/>
        </w:tc>
        <w:tc>
          <w:tcPr>
            <w:tcW w:w="3402" w:type="dxa"/>
          </w:tcPr>
          <w:p w:rsidR="00D31909" w:rsidRDefault="00D31909"/>
        </w:tc>
        <w:tc>
          <w:tcPr>
            <w:tcW w:w="1411" w:type="dxa"/>
            <w:shd w:val="clear" w:color="auto" w:fill="F2F2F2" w:themeFill="background1" w:themeFillShade="F2"/>
          </w:tcPr>
          <w:p w:rsidR="00D31909" w:rsidRDefault="00D31909"/>
        </w:tc>
      </w:tr>
      <w:tr w:rsidR="00D31909" w:rsidTr="00327C78">
        <w:tc>
          <w:tcPr>
            <w:tcW w:w="4815" w:type="dxa"/>
          </w:tcPr>
          <w:p w:rsidR="00D31909" w:rsidRDefault="00D31909"/>
        </w:tc>
        <w:tc>
          <w:tcPr>
            <w:tcW w:w="3402" w:type="dxa"/>
          </w:tcPr>
          <w:p w:rsidR="00D31909" w:rsidRDefault="00D31909"/>
        </w:tc>
        <w:tc>
          <w:tcPr>
            <w:tcW w:w="1411" w:type="dxa"/>
            <w:shd w:val="clear" w:color="auto" w:fill="F2F2F2" w:themeFill="background1" w:themeFillShade="F2"/>
          </w:tcPr>
          <w:p w:rsidR="00D31909" w:rsidRDefault="00D31909"/>
        </w:tc>
      </w:tr>
      <w:tr w:rsidR="00D31909" w:rsidTr="00327C78">
        <w:tc>
          <w:tcPr>
            <w:tcW w:w="4815" w:type="dxa"/>
          </w:tcPr>
          <w:p w:rsidR="00D31909" w:rsidRDefault="00D31909"/>
        </w:tc>
        <w:tc>
          <w:tcPr>
            <w:tcW w:w="3402" w:type="dxa"/>
          </w:tcPr>
          <w:p w:rsidR="00D31909" w:rsidRDefault="00D31909"/>
        </w:tc>
        <w:tc>
          <w:tcPr>
            <w:tcW w:w="1411" w:type="dxa"/>
            <w:shd w:val="clear" w:color="auto" w:fill="F2F2F2" w:themeFill="background1" w:themeFillShade="F2"/>
          </w:tcPr>
          <w:p w:rsidR="00D31909" w:rsidRDefault="00D31909"/>
        </w:tc>
      </w:tr>
      <w:tr w:rsidR="00B91C8A" w:rsidTr="00327C78">
        <w:tc>
          <w:tcPr>
            <w:tcW w:w="4815" w:type="dxa"/>
          </w:tcPr>
          <w:p w:rsidR="00B91C8A" w:rsidRDefault="00B91C8A"/>
        </w:tc>
        <w:tc>
          <w:tcPr>
            <w:tcW w:w="3402" w:type="dxa"/>
          </w:tcPr>
          <w:p w:rsidR="00B91C8A" w:rsidRDefault="00B91C8A"/>
        </w:tc>
        <w:tc>
          <w:tcPr>
            <w:tcW w:w="1411" w:type="dxa"/>
            <w:shd w:val="clear" w:color="auto" w:fill="F2F2F2" w:themeFill="background1" w:themeFillShade="F2"/>
          </w:tcPr>
          <w:p w:rsidR="00B91C8A" w:rsidRDefault="00B91C8A"/>
        </w:tc>
      </w:tr>
    </w:tbl>
    <w:p w:rsidR="00D31909" w:rsidRDefault="00D31909"/>
    <w:p w:rsidR="00D31909" w:rsidRDefault="00B91C8A">
      <w:r>
        <w:t>Delle venti risposte sono stati corretti n. _________ errori (zero se non vi sono errori)</w:t>
      </w:r>
    </w:p>
    <w:p w:rsidR="00B91C8A" w:rsidRDefault="00B91C8A">
      <w:r>
        <w:t>NOME e Cognome del concorrente _________________________________________</w:t>
      </w:r>
    </w:p>
    <w:p w:rsidR="00327C78" w:rsidRDefault="00327C78">
      <w:r>
        <w:t>NB: per ogni domanda una sola è la risposta esatta;</w:t>
      </w:r>
    </w:p>
    <w:p w:rsidR="00327C78" w:rsidRDefault="00327C78">
      <w:proofErr w:type="gramStart"/>
      <w:r>
        <w:t>la</w:t>
      </w:r>
      <w:proofErr w:type="gramEnd"/>
      <w:r>
        <w:t xml:space="preserve"> risposta non data non costituisce errore</w:t>
      </w:r>
    </w:p>
    <w:p w:rsidR="00327C78" w:rsidRDefault="00327C78"/>
    <w:p w:rsidR="00327C78" w:rsidRDefault="00327C78"/>
    <w:p w:rsidR="00B91C8A" w:rsidRDefault="00B91C8A">
      <w:r>
        <w:t>Firma del concorrente ___________________________________________________</w:t>
      </w:r>
    </w:p>
    <w:p w:rsidR="00327C78" w:rsidRDefault="00327C78"/>
    <w:p w:rsidR="00327C78" w:rsidRDefault="00327C78"/>
    <w:p w:rsidR="00327C78" w:rsidRDefault="00327C78"/>
    <w:p w:rsidR="00B91C8A" w:rsidRDefault="00327C78">
      <w:r>
        <w:t>Punteggio finale</w:t>
      </w:r>
    </w:p>
    <w:p w:rsidR="00B91C8A" w:rsidRDefault="00B91C8A"/>
    <w:sectPr w:rsidR="00B91C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9C7"/>
    <w:multiLevelType w:val="hybridMultilevel"/>
    <w:tmpl w:val="BAA246E4"/>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5E00E0"/>
    <w:multiLevelType w:val="hybridMultilevel"/>
    <w:tmpl w:val="BFC0E4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2084240"/>
    <w:multiLevelType w:val="hybridMultilevel"/>
    <w:tmpl w:val="60CAB4B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7539E0"/>
    <w:multiLevelType w:val="hybridMultilevel"/>
    <w:tmpl w:val="4FF02FC2"/>
    <w:lvl w:ilvl="0" w:tplc="2C4E003C">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0A2F83"/>
    <w:multiLevelType w:val="hybridMultilevel"/>
    <w:tmpl w:val="F4B0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7772EC"/>
    <w:multiLevelType w:val="hybridMultilevel"/>
    <w:tmpl w:val="1DBAE7F2"/>
    <w:lvl w:ilvl="0" w:tplc="04100003">
      <w:start w:val="1"/>
      <w:numFmt w:val="bullet"/>
      <w:lvlText w:val="o"/>
      <w:lvlJc w:val="left"/>
      <w:pPr>
        <w:tabs>
          <w:tab w:val="num" w:pos="720"/>
        </w:tabs>
        <w:ind w:left="720" w:hanging="360"/>
      </w:pPr>
      <w:rPr>
        <w:rFonts w:ascii="Courier New" w:hAnsi="Courier New" w:hint="default"/>
      </w:rPr>
    </w:lvl>
    <w:lvl w:ilvl="1" w:tplc="D4EE567E">
      <w:start w:val="17"/>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C847CBE"/>
    <w:multiLevelType w:val="hybridMultilevel"/>
    <w:tmpl w:val="1A7EBDB4"/>
    <w:lvl w:ilvl="0" w:tplc="0410000F">
      <w:start w:val="18"/>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09"/>
    <w:rsid w:val="00105EF0"/>
    <w:rsid w:val="00205B10"/>
    <w:rsid w:val="00327C78"/>
    <w:rsid w:val="0037153B"/>
    <w:rsid w:val="004266B5"/>
    <w:rsid w:val="0043464A"/>
    <w:rsid w:val="006231C9"/>
    <w:rsid w:val="007A12DD"/>
    <w:rsid w:val="0083410D"/>
    <w:rsid w:val="008652B7"/>
    <w:rsid w:val="008F7F81"/>
    <w:rsid w:val="00B57666"/>
    <w:rsid w:val="00B91C8A"/>
    <w:rsid w:val="00D31909"/>
    <w:rsid w:val="00E62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418A8-11A9-4B42-B67B-5FE7C19E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31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Marsiglio Paolo</dc:creator>
  <cp:keywords/>
  <dc:description/>
  <cp:lastModifiedBy>Stocco Federica</cp:lastModifiedBy>
  <cp:revision>2</cp:revision>
  <dcterms:created xsi:type="dcterms:W3CDTF">2018-08-23T10:48:00Z</dcterms:created>
  <dcterms:modified xsi:type="dcterms:W3CDTF">2018-08-23T10:48:00Z</dcterms:modified>
</cp:coreProperties>
</file>